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730E5CE7" w14:textId="7EAE3C7B" w:rsidR="003E3C4F" w:rsidRDefault="003E3C4F" w:rsidP="003E3C4F">
      <w:pPr>
        <w:spacing w:after="0" w:line="240" w:lineRule="auto"/>
        <w:ind w:firstLine="567"/>
        <w:jc w:val="both"/>
        <w:rPr>
          <w:rFonts w:eastAsia="Calibri" w:cstheme="minorHAnsi"/>
        </w:rPr>
      </w:pPr>
      <w:r>
        <w:rPr>
          <w:rFonts w:eastAsia="Calibri" w:cstheme="minorHAnsi"/>
        </w:rPr>
        <w:t xml:space="preserve">1. </w:t>
      </w:r>
      <w:r w:rsidRPr="00F0499F">
        <w:rPr>
          <w:rFonts w:eastAsia="Calibri" w:cstheme="minorHAnsi"/>
        </w:rPr>
        <w:t>Perkančioji organizacija ekonomiškai naudingiausią pasiūlymą išrenka</w:t>
      </w:r>
      <w:r>
        <w:rPr>
          <w:rFonts w:eastAsia="Calibri" w:cstheme="minorHAnsi"/>
        </w:rPr>
        <w:t xml:space="preserve"> žemiau nurodytais kriterijais ir tvarka: </w:t>
      </w:r>
    </w:p>
    <w:p w14:paraId="195C7DC2" w14:textId="259E61D6" w:rsidR="005E4D00" w:rsidRDefault="005E4D00" w:rsidP="005E4D00">
      <w:pPr>
        <w:spacing w:after="0" w:line="240" w:lineRule="auto"/>
        <w:jc w:val="right"/>
        <w:rPr>
          <w:rFonts w:ascii="Times New Roman" w:eastAsia="Times New Roman" w:hAnsi="Times New Roman" w:cs="Times New Roman"/>
          <w:bCs/>
          <w:lang w:eastAsia="ar-SA"/>
        </w:rPr>
      </w:pPr>
    </w:p>
    <w:p w14:paraId="50E908A0" w14:textId="7D5335A3" w:rsidR="005E4D00" w:rsidRDefault="005E4D00" w:rsidP="005E4D00">
      <w:pPr>
        <w:widowControl w:val="0"/>
        <w:autoSpaceDE w:val="0"/>
        <w:autoSpaceDN w:val="0"/>
        <w:adjustRightInd w:val="0"/>
        <w:spacing w:line="240" w:lineRule="auto"/>
        <w:contextualSpacing/>
        <w:jc w:val="both"/>
        <w:rPr>
          <w:rFonts w:ascii="Times New Roman" w:eastAsia="Calibri" w:hAnsi="Times New Roman" w:cs="Times New Roman"/>
          <w:lang w:eastAsia="en-US"/>
        </w:rPr>
      </w:pPr>
      <w:r>
        <w:rPr>
          <w:rFonts w:ascii="Times New Roman" w:eastAsia="Calibri" w:hAnsi="Times New Roman" w:cs="Times New Roman"/>
        </w:rPr>
        <w:t>Pasiūlymų vertinimui bus taikomi šie kriterijai ir formulės:</w:t>
      </w:r>
    </w:p>
    <w:tbl>
      <w:tblPr>
        <w:tblW w:w="9645" w:type="dxa"/>
        <w:tblInd w:w="-5" w:type="dxa"/>
        <w:tblLayout w:type="fixed"/>
        <w:tblLook w:val="04A0" w:firstRow="1" w:lastRow="0" w:firstColumn="1" w:lastColumn="0" w:noHBand="0" w:noVBand="1"/>
      </w:tblPr>
      <w:tblGrid>
        <w:gridCol w:w="5957"/>
        <w:gridCol w:w="1277"/>
        <w:gridCol w:w="1135"/>
        <w:gridCol w:w="1276"/>
      </w:tblGrid>
      <w:tr w:rsidR="005E4D00" w14:paraId="3B3DD79A" w14:textId="77777777" w:rsidTr="005E4D00">
        <w:trPr>
          <w:trHeight w:val="1020"/>
        </w:trPr>
        <w:tc>
          <w:tcPr>
            <w:tcW w:w="5954" w:type="dxa"/>
            <w:tcBorders>
              <w:top w:val="single" w:sz="4" w:space="0" w:color="auto"/>
              <w:left w:val="single" w:sz="4" w:space="0" w:color="auto"/>
              <w:bottom w:val="single" w:sz="4" w:space="0" w:color="auto"/>
              <w:right w:val="single" w:sz="4" w:space="0" w:color="auto"/>
            </w:tcBorders>
            <w:noWrap/>
            <w:vAlign w:val="center"/>
            <w:hideMark/>
          </w:tcPr>
          <w:p w14:paraId="16FCBD77" w14:textId="77777777" w:rsidR="005E4D00" w:rsidRDefault="005E4D00">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Vertinimo kriterijai</w:t>
            </w:r>
          </w:p>
        </w:tc>
        <w:tc>
          <w:tcPr>
            <w:tcW w:w="1276" w:type="dxa"/>
            <w:tcBorders>
              <w:top w:val="single" w:sz="4" w:space="0" w:color="auto"/>
              <w:left w:val="nil"/>
              <w:bottom w:val="single" w:sz="4" w:space="0" w:color="auto"/>
              <w:right w:val="single" w:sz="4" w:space="0" w:color="auto"/>
            </w:tcBorders>
            <w:vAlign w:val="center"/>
            <w:hideMark/>
          </w:tcPr>
          <w:p w14:paraId="78FD41D0" w14:textId="77777777" w:rsidR="005E4D00" w:rsidRDefault="005E4D00">
            <w:pPr>
              <w:spacing w:after="0" w:line="240" w:lineRule="auto"/>
              <w:jc w:val="center"/>
              <w:rPr>
                <w:rFonts w:ascii="Times New Roman" w:eastAsia="Times New Roman" w:hAnsi="Times New Roman" w:cs="Times New Roman"/>
              </w:rPr>
            </w:pPr>
            <w:r>
              <w:rPr>
                <w:rFonts w:ascii="Times New Roman" w:eastAsia="TimesNewRomanPSMT" w:hAnsi="Times New Roman" w:cs="Times New Roman"/>
                <w:shd w:val="clear" w:color="auto" w:fill="FFFFFF"/>
              </w:rPr>
              <w:t>Privaloma parametro vertė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2C29F" w14:textId="77777777" w:rsidR="005E4D00" w:rsidRDefault="005E4D0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81238D" w14:textId="77777777" w:rsidR="005E4D00" w:rsidRDefault="005E4D0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Vertinimo kriterijų lyginamieji svoriai</w:t>
            </w:r>
          </w:p>
        </w:tc>
      </w:tr>
      <w:tr w:rsidR="005E4D00" w14:paraId="4B3E7DF2" w14:textId="77777777" w:rsidTr="005E4D00">
        <w:trPr>
          <w:trHeight w:val="713"/>
        </w:trPr>
        <w:tc>
          <w:tcPr>
            <w:tcW w:w="5954" w:type="dxa"/>
            <w:tcBorders>
              <w:top w:val="single" w:sz="4" w:space="0" w:color="auto"/>
              <w:left w:val="single" w:sz="4" w:space="0" w:color="auto"/>
              <w:bottom w:val="single" w:sz="4" w:space="0" w:color="auto"/>
              <w:right w:val="single" w:sz="4" w:space="0" w:color="auto"/>
            </w:tcBorders>
            <w:noWrap/>
            <w:vAlign w:val="center"/>
            <w:hideMark/>
          </w:tcPr>
          <w:p w14:paraId="4E8500B1" w14:textId="77777777" w:rsidR="005E4D00" w:rsidRDefault="005E4D00">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Kaina (C)</w:t>
            </w:r>
          </w:p>
        </w:tc>
        <w:tc>
          <w:tcPr>
            <w:tcW w:w="1276" w:type="dxa"/>
            <w:tcBorders>
              <w:top w:val="single" w:sz="4" w:space="0" w:color="auto"/>
              <w:left w:val="nil"/>
              <w:bottom w:val="single" w:sz="4" w:space="0" w:color="auto"/>
              <w:right w:val="single" w:sz="4" w:space="0" w:color="auto"/>
            </w:tcBorders>
            <w:vAlign w:val="center"/>
            <w:hideMark/>
          </w:tcPr>
          <w:p w14:paraId="5F7866A8" w14:textId="77777777" w:rsidR="005E4D00" w:rsidRDefault="005E4D00">
            <w:pPr>
              <w:spacing w:after="0" w:line="240" w:lineRule="auto"/>
              <w:jc w:val="center"/>
              <w:rPr>
                <w:rFonts w:ascii="Times New Roman" w:eastAsia="TimesNewRomanPSMT" w:hAnsi="Times New Roman" w:cs="Times New Roman"/>
                <w:shd w:val="clear" w:color="auto" w:fill="FFFFFF"/>
                <w:lang w:eastAsia="en-US"/>
              </w:rPr>
            </w:pPr>
            <w:r>
              <w:rPr>
                <w:rFonts w:ascii="Times New Roman" w:eastAsia="Times New Roman" w:hAnsi="Times New Roman" w:cs="Times New Roman"/>
                <w:b/>
                <w:i/>
                <w:i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72B80" w14:textId="77777777" w:rsidR="005E4D00" w:rsidRDefault="005E4D00">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C99A1" w14:textId="77777777" w:rsidR="005E4D00" w:rsidRDefault="005E4D00">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X = 95</w:t>
            </w:r>
          </w:p>
        </w:tc>
      </w:tr>
      <w:tr w:rsidR="005E4D00" w14:paraId="3539239E" w14:textId="77777777" w:rsidTr="005E4D00">
        <w:trPr>
          <w:trHeight w:val="709"/>
        </w:trPr>
        <w:tc>
          <w:tcPr>
            <w:tcW w:w="5954" w:type="dxa"/>
            <w:tcBorders>
              <w:top w:val="single" w:sz="4" w:space="0" w:color="auto"/>
              <w:left w:val="single" w:sz="4" w:space="0" w:color="auto"/>
              <w:bottom w:val="single" w:sz="4" w:space="0" w:color="auto"/>
              <w:right w:val="single" w:sz="4" w:space="0" w:color="auto"/>
            </w:tcBorders>
            <w:noWrap/>
            <w:vAlign w:val="center"/>
            <w:hideMark/>
          </w:tcPr>
          <w:p w14:paraId="37727931" w14:textId="77777777" w:rsidR="005E4D00" w:rsidRPr="008C56FA" w:rsidRDefault="005E4D00">
            <w:pPr>
              <w:spacing w:after="0" w:line="240" w:lineRule="auto"/>
              <w:rPr>
                <w:rFonts w:ascii="Times New Roman" w:eastAsia="Times New Roman" w:hAnsi="Times New Roman" w:cs="Times New Roman"/>
                <w:bCs/>
              </w:rPr>
            </w:pPr>
            <w:r w:rsidRPr="009F628C">
              <w:rPr>
                <w:rFonts w:ascii="Times New Roman" w:eastAsia="Times New Roman" w:hAnsi="Times New Roman" w:cs="Times New Roman"/>
                <w:bCs/>
              </w:rPr>
              <w:t xml:space="preserve">Tiekėjas pirkimo sutarties vykdymo laikotarpiu galės taikyti aplinkos apsaugos </w:t>
            </w:r>
            <w:r w:rsidRPr="008C56FA">
              <w:rPr>
                <w:rFonts w:ascii="Times New Roman" w:eastAsia="Times New Roman" w:hAnsi="Times New Roman" w:cs="Times New Roman"/>
                <w:bCs/>
              </w:rPr>
              <w:t>vadybos priemones:</w:t>
            </w:r>
          </w:p>
          <w:p w14:paraId="3DA02332" w14:textId="3871AB79" w:rsidR="005E4D00" w:rsidRPr="009F628C" w:rsidRDefault="005E4D00">
            <w:pPr>
              <w:spacing w:after="0" w:line="240" w:lineRule="auto"/>
              <w:rPr>
                <w:rFonts w:ascii="Times New Roman" w:eastAsia="Times New Roman" w:hAnsi="Times New Roman" w:cs="Times New Roman"/>
                <w:bCs/>
              </w:rPr>
            </w:pPr>
            <w:r w:rsidRPr="008C56FA">
              <w:rPr>
                <w:rFonts w:ascii="Times New Roman" w:eastAsia="Times New Roman" w:hAnsi="Times New Roman" w:cs="Times New Roman"/>
                <w:bCs/>
              </w:rPr>
              <w:t xml:space="preserve">pakeliamų vartų ir </w:t>
            </w:r>
            <w:r w:rsidR="008C56FA" w:rsidRPr="008C56FA">
              <w:rPr>
                <w:rFonts w:ascii="Times New Roman" w:eastAsia="Times New Roman" w:hAnsi="Times New Roman" w:cs="Times New Roman"/>
                <w:bCs/>
              </w:rPr>
              <w:t xml:space="preserve">(ar) </w:t>
            </w:r>
            <w:r w:rsidRPr="008C56FA">
              <w:rPr>
                <w:rFonts w:ascii="Times New Roman" w:eastAsia="Times New Roman" w:hAnsi="Times New Roman" w:cs="Times New Roman"/>
                <w:bCs/>
              </w:rPr>
              <w:t xml:space="preserve">kelio užtvarų remonto </w:t>
            </w:r>
            <w:r w:rsidR="00442FA5">
              <w:rPr>
                <w:rFonts w:ascii="Times New Roman" w:eastAsia="Times New Roman" w:hAnsi="Times New Roman" w:cs="Times New Roman"/>
                <w:bCs/>
              </w:rPr>
              <w:t>ir (ar)</w:t>
            </w:r>
            <w:r w:rsidRPr="008C56FA">
              <w:rPr>
                <w:rFonts w:ascii="Times New Roman" w:eastAsia="Times New Roman" w:hAnsi="Times New Roman" w:cs="Times New Roman"/>
                <w:bCs/>
              </w:rPr>
              <w:t xml:space="preserve"> priežiūros paslaugų teikimo veikloje turi</w:t>
            </w:r>
            <w:r w:rsidRPr="009F628C">
              <w:rPr>
                <w:rFonts w:ascii="Times New Roman" w:eastAsia="Times New Roman" w:hAnsi="Times New Roman" w:cs="Times New Roman"/>
                <w:bCs/>
              </w:rPr>
              <w:t xml:space="preserve">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1276" w:type="dxa"/>
            <w:tcBorders>
              <w:top w:val="single" w:sz="4" w:space="0" w:color="auto"/>
              <w:left w:val="nil"/>
              <w:bottom w:val="single" w:sz="4" w:space="0" w:color="auto"/>
              <w:right w:val="single" w:sz="4" w:space="0" w:color="auto"/>
            </w:tcBorders>
            <w:vAlign w:val="center"/>
            <w:hideMark/>
          </w:tcPr>
          <w:p w14:paraId="4372F933" w14:textId="77777777" w:rsidR="005E4D00" w:rsidRPr="009F628C" w:rsidRDefault="005E4D00">
            <w:pPr>
              <w:spacing w:after="0" w:line="240" w:lineRule="auto"/>
              <w:jc w:val="center"/>
              <w:rPr>
                <w:rFonts w:ascii="Times New Roman" w:eastAsia="Times New Roman" w:hAnsi="Times New Roman" w:cs="Times New Roman"/>
                <w:bCs/>
              </w:rPr>
            </w:pPr>
            <w:r w:rsidRPr="009F628C">
              <w:rPr>
                <w:rFonts w:ascii="Times New Roman" w:eastAsia="Times New Roman" w:hAnsi="Times New Roman" w:cs="Times New Roman"/>
                <w:b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EF0AC" w14:textId="77777777" w:rsidR="005E4D00" w:rsidRPr="009F628C" w:rsidRDefault="005E4D00">
            <w:pPr>
              <w:spacing w:after="0" w:line="240" w:lineRule="auto"/>
              <w:jc w:val="center"/>
              <w:rPr>
                <w:rFonts w:ascii="Times New Roman" w:eastAsia="Times New Roman" w:hAnsi="Times New Roman" w:cs="Times New Roman"/>
                <w:bCs/>
              </w:rPr>
            </w:pPr>
            <w:r w:rsidRPr="009F628C">
              <w:rPr>
                <w:rFonts w:ascii="Times New Roman" w:eastAsia="Times New Roman" w:hAnsi="Times New Roman" w:cs="Times New Roman"/>
                <w:bCs/>
              </w:rPr>
              <w:t>Taip</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F3B37B" w14:textId="77777777" w:rsidR="005E4D00" w:rsidRPr="009F628C" w:rsidRDefault="005E4D00">
            <w:pPr>
              <w:spacing w:after="0" w:line="240" w:lineRule="auto"/>
              <w:jc w:val="center"/>
              <w:rPr>
                <w:rFonts w:ascii="Times New Roman" w:eastAsia="Times New Roman" w:hAnsi="Times New Roman" w:cs="Times New Roman"/>
                <w:bCs/>
              </w:rPr>
            </w:pPr>
            <w:r w:rsidRPr="009F628C">
              <w:rPr>
                <w:rFonts w:ascii="Times New Roman" w:eastAsia="Times New Roman" w:hAnsi="Times New Roman" w:cs="Times New Roman"/>
                <w:bCs/>
              </w:rPr>
              <w:t>Y</w:t>
            </w:r>
            <w:r w:rsidRPr="009F628C">
              <w:rPr>
                <w:rFonts w:ascii="Times New Roman" w:eastAsia="Times New Roman" w:hAnsi="Times New Roman" w:cs="Times New Roman"/>
                <w:bCs/>
                <w:vertAlign w:val="subscript"/>
              </w:rPr>
              <w:t xml:space="preserve"> </w:t>
            </w:r>
            <w:r w:rsidRPr="009F628C">
              <w:rPr>
                <w:rFonts w:ascii="Times New Roman" w:eastAsia="Times New Roman" w:hAnsi="Times New Roman" w:cs="Times New Roman"/>
                <w:bCs/>
                <w:lang w:val="en-US"/>
              </w:rPr>
              <w:t xml:space="preserve">= </w:t>
            </w:r>
            <w:r w:rsidRPr="009F628C">
              <w:rPr>
                <w:rFonts w:ascii="Times New Roman" w:eastAsia="Times New Roman" w:hAnsi="Times New Roman" w:cs="Times New Roman"/>
                <w:bCs/>
              </w:rPr>
              <w:t>5</w:t>
            </w:r>
          </w:p>
        </w:tc>
      </w:tr>
    </w:tbl>
    <w:p w14:paraId="6C182522" w14:textId="77777777" w:rsidR="005E4D00" w:rsidRDefault="005E4D00" w:rsidP="005E4D00">
      <w:pPr>
        <w:numPr>
          <w:ilvl w:val="0"/>
          <w:numId w:val="50"/>
        </w:numPr>
        <w:tabs>
          <w:tab w:val="num" w:pos="0"/>
        </w:tabs>
        <w:spacing w:after="0" w:line="240" w:lineRule="auto"/>
        <w:contextualSpacing/>
        <w:jc w:val="both"/>
        <w:rPr>
          <w:rFonts w:ascii="Times New Roman" w:eastAsia="Times New Roman" w:hAnsi="Times New Roman" w:cs="Times New Roman"/>
          <w:sz w:val="22"/>
          <w:szCs w:val="22"/>
          <w:lang w:eastAsia="en-US"/>
        </w:rPr>
      </w:pPr>
    </w:p>
    <w:p w14:paraId="75558727" w14:textId="77777777" w:rsidR="005E4D00" w:rsidRDefault="005E4D00" w:rsidP="005E4D00">
      <w:pPr>
        <w:numPr>
          <w:ilvl w:val="0"/>
          <w:numId w:val="50"/>
        </w:numPr>
        <w:tabs>
          <w:tab w:val="num" w:pos="0"/>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Ekonominis naudingumas (S) apskaičiuojamas sudedant tiekėjo pasiūlymo kainos (C) ir kito kriterijaus (T) balus:</w:t>
      </w:r>
    </w:p>
    <w:p w14:paraId="6D2EE278" w14:textId="77777777" w:rsidR="005E4D00" w:rsidRDefault="005E4D00" w:rsidP="005E4D00">
      <w:pPr>
        <w:numPr>
          <w:ilvl w:val="0"/>
          <w:numId w:val="50"/>
        </w:numPr>
        <w:tabs>
          <w:tab w:val="num" w:pos="0"/>
        </w:tabs>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S = C + T</w:t>
      </w:r>
    </w:p>
    <w:p w14:paraId="3AB306D0" w14:textId="77777777" w:rsidR="005E4D00" w:rsidRDefault="005E4D00" w:rsidP="005E4D00">
      <w:pPr>
        <w:tabs>
          <w:tab w:val="num" w:pos="0"/>
        </w:tabs>
        <w:spacing w:after="0" w:line="240" w:lineRule="auto"/>
        <w:rPr>
          <w:rFonts w:ascii="Times New Roman" w:eastAsia="Times New Roman" w:hAnsi="Times New Roman" w:cs="Times New Roman"/>
          <w:vertAlign w:val="subscript"/>
        </w:rPr>
      </w:pPr>
      <w:bookmarkStart w:id="0" w:name="_Hlk3295284"/>
    </w:p>
    <w:p w14:paraId="01191EBA" w14:textId="77777777" w:rsidR="005E4D00" w:rsidRDefault="005E4D00" w:rsidP="005E4D00">
      <w:pPr>
        <w:numPr>
          <w:ilvl w:val="0"/>
          <w:numId w:val="50"/>
        </w:numPr>
        <w:tabs>
          <w:tab w:val="num" w:pos="0"/>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Pasiūlymo kainos (C) balai apskaičiuojami mažiausios pasiūlytos kainos (</w:t>
      </w:r>
      <w:proofErr w:type="spellStart"/>
      <w:r>
        <w:rPr>
          <w:rFonts w:ascii="Times New Roman" w:eastAsia="Times New Roman" w:hAnsi="Times New Roman" w:cs="Times New Roman"/>
        </w:rPr>
        <w:t>C</w:t>
      </w:r>
      <w:r>
        <w:rPr>
          <w:rFonts w:ascii="Times New Roman" w:eastAsia="Times New Roman" w:hAnsi="Times New Roman" w:cs="Times New Roman"/>
          <w:vertAlign w:val="subscript"/>
        </w:rPr>
        <w:t>min</w:t>
      </w:r>
      <w:proofErr w:type="spellEnd"/>
      <w:r>
        <w:rPr>
          <w:rFonts w:ascii="Times New Roman" w:eastAsia="Times New Roman" w:hAnsi="Times New Roman" w:cs="Times New Roman"/>
        </w:rPr>
        <w:t>) ir vertinamo pasiūlymo kainos (</w:t>
      </w:r>
      <w:proofErr w:type="spellStart"/>
      <w:r>
        <w:rPr>
          <w:rFonts w:ascii="Times New Roman" w:eastAsia="Times New Roman" w:hAnsi="Times New Roman" w:cs="Times New Roman"/>
        </w:rPr>
        <w:t>C</w:t>
      </w:r>
      <w:r>
        <w:rPr>
          <w:rFonts w:ascii="Times New Roman" w:eastAsia="Times New Roman" w:hAnsi="Times New Roman" w:cs="Times New Roman"/>
          <w:vertAlign w:val="subscript"/>
        </w:rPr>
        <w:t>p</w:t>
      </w:r>
      <w:proofErr w:type="spellEnd"/>
      <w:r>
        <w:rPr>
          <w:rFonts w:ascii="Times New Roman" w:eastAsia="Times New Roman" w:hAnsi="Times New Roman" w:cs="Times New Roman"/>
        </w:rPr>
        <w:t xml:space="preserve">) santykį padauginant iš kainos lyginamojo svorio (X): </w:t>
      </w:r>
    </w:p>
    <w:p w14:paraId="3BBC6BC9" w14:textId="77777777" w:rsidR="005E4D00" w:rsidRDefault="005E4D00" w:rsidP="005E4D00">
      <w:pPr>
        <w:numPr>
          <w:ilvl w:val="0"/>
          <w:numId w:val="50"/>
        </w:numPr>
        <w:tabs>
          <w:tab w:val="num" w:pos="0"/>
        </w:tabs>
        <w:spacing w:after="0" w:line="240" w:lineRule="auto"/>
        <w:contextualSpacing/>
        <w:jc w:val="center"/>
        <w:rPr>
          <w:rFonts w:ascii="Times New Roman" w:eastAsia="Times New Roman" w:hAnsi="Times New Roman" w:cs="Times New Roman"/>
        </w:rPr>
      </w:pPr>
    </w:p>
    <w:p w14:paraId="467FC9EC" w14:textId="77777777" w:rsidR="005E4D00" w:rsidRDefault="005E4D00" w:rsidP="005E4D00">
      <w:pPr>
        <w:numPr>
          <w:ilvl w:val="0"/>
          <w:numId w:val="50"/>
        </w:numPr>
        <w:tabs>
          <w:tab w:val="num" w:pos="0"/>
        </w:tabs>
        <w:spacing w:after="0" w:line="240" w:lineRule="auto"/>
        <w:contextualSpacing/>
        <w:jc w:val="center"/>
        <w:rPr>
          <w:rFonts w:ascii="Times New Roman" w:eastAsia="Times New Roman" w:hAnsi="Times New Roman" w:cs="Times New Roman"/>
        </w:rPr>
      </w:pPr>
      <w:r>
        <w:rPr>
          <w:rFonts w:ascii="Times New Roman" w:eastAsia="Times New Roman" w:hAnsi="Times New Roman" w:cs="Times New Roman"/>
        </w:rPr>
        <w:t>C = (</w:t>
      </w:r>
      <w:proofErr w:type="spellStart"/>
      <w:r>
        <w:rPr>
          <w:rFonts w:ascii="Times New Roman" w:eastAsia="Times New Roman" w:hAnsi="Times New Roman" w:cs="Times New Roman"/>
        </w:rPr>
        <w:t>C</w:t>
      </w:r>
      <w:r>
        <w:rPr>
          <w:rFonts w:ascii="Times New Roman" w:eastAsia="Times New Roman" w:hAnsi="Times New Roman" w:cs="Times New Roman"/>
          <w:vertAlign w:val="subscript"/>
        </w:rPr>
        <w:t>min</w:t>
      </w:r>
      <w:proofErr w:type="spellEnd"/>
      <w:r>
        <w:rPr>
          <w:rFonts w:ascii="Times New Roman" w:eastAsia="Times New Roman" w:hAnsi="Times New Roman" w:cs="Times New Roman"/>
        </w:rPr>
        <w:t xml:space="preserve"> / </w:t>
      </w:r>
      <w:proofErr w:type="spellStart"/>
      <w:r>
        <w:rPr>
          <w:rFonts w:ascii="Times New Roman" w:eastAsia="Times New Roman" w:hAnsi="Times New Roman" w:cs="Times New Roman"/>
        </w:rPr>
        <w:t>C</w:t>
      </w:r>
      <w:r>
        <w:rPr>
          <w:rFonts w:ascii="Times New Roman" w:eastAsia="Times New Roman" w:hAnsi="Times New Roman" w:cs="Times New Roman"/>
          <w:vertAlign w:val="subscript"/>
        </w:rPr>
        <w:t>p</w:t>
      </w:r>
      <w:proofErr w:type="spellEnd"/>
      <w:r>
        <w:rPr>
          <w:rFonts w:ascii="Times New Roman" w:eastAsia="Times New Roman" w:hAnsi="Times New Roman" w:cs="Times New Roman"/>
        </w:rPr>
        <w:t>) * X</w:t>
      </w:r>
    </w:p>
    <w:bookmarkEnd w:id="0"/>
    <w:p w14:paraId="2F72481D" w14:textId="77777777" w:rsidR="005E4D00" w:rsidRDefault="005E4D00" w:rsidP="005E4D00">
      <w:pPr>
        <w:spacing w:after="0" w:line="240" w:lineRule="auto"/>
        <w:rPr>
          <w:rFonts w:ascii="Times New Roman" w:eastAsia="Times New Roman" w:hAnsi="Times New Roman" w:cs="Times New Roman"/>
          <w:sz w:val="16"/>
          <w:szCs w:val="16"/>
        </w:rPr>
      </w:pPr>
    </w:p>
    <w:p w14:paraId="4E455128" w14:textId="77777777" w:rsidR="005E4D00" w:rsidRPr="009F628C" w:rsidRDefault="005E4D00" w:rsidP="005E4D00">
      <w:pPr>
        <w:suppressAutoHyphens/>
        <w:spacing w:after="0" w:line="240" w:lineRule="auto"/>
        <w:ind w:left="432"/>
        <w:rPr>
          <w:rFonts w:ascii="Times New Roman" w:eastAsia="Times New Roman" w:hAnsi="Times New Roman" w:cs="Times New Roman"/>
          <w:sz w:val="16"/>
          <w:szCs w:val="16"/>
        </w:rPr>
      </w:pPr>
    </w:p>
    <w:p w14:paraId="54475674" w14:textId="77777777" w:rsidR="005E4D00" w:rsidRPr="009F628C" w:rsidRDefault="005E4D00" w:rsidP="005E4D00">
      <w:pPr>
        <w:numPr>
          <w:ilvl w:val="0"/>
          <w:numId w:val="50"/>
        </w:numPr>
        <w:spacing w:after="0" w:line="240" w:lineRule="auto"/>
        <w:contextualSpacing/>
        <w:jc w:val="both"/>
        <w:rPr>
          <w:rFonts w:ascii="Times New Roman" w:eastAsia="Times New Roman" w:hAnsi="Times New Roman" w:cs="Times New Roman"/>
          <w:sz w:val="22"/>
          <w:szCs w:val="22"/>
          <w:lang w:eastAsia="en-US"/>
        </w:rPr>
      </w:pPr>
      <w:r w:rsidRPr="009F628C">
        <w:rPr>
          <w:rFonts w:ascii="Times New Roman" w:eastAsia="Times New Roman" w:hAnsi="Times New Roman" w:cs="Times New Roman"/>
        </w:rPr>
        <w:t>Kriterijus T</w:t>
      </w:r>
      <w:r w:rsidRPr="009F628C">
        <w:rPr>
          <w:rFonts w:ascii="Times New Roman" w:eastAsia="Times New Roman" w:hAnsi="Times New Roman" w:cs="Times New Roman"/>
          <w:vertAlign w:val="subscript"/>
        </w:rPr>
        <w:t xml:space="preserve"> </w:t>
      </w:r>
      <w:r w:rsidRPr="009F628C">
        <w:rPr>
          <w:rFonts w:ascii="Times New Roman" w:eastAsia="Times New Roman" w:hAnsi="Times New Roman" w:cs="Times New Roman"/>
        </w:rPr>
        <w:t>apskaičiuojamas tokia tvarka:</w:t>
      </w:r>
    </w:p>
    <w:p w14:paraId="4FCC81B2" w14:textId="77777777" w:rsidR="005E4D00" w:rsidRPr="009F628C" w:rsidRDefault="005E4D00" w:rsidP="005E4D00">
      <w:pPr>
        <w:numPr>
          <w:ilvl w:val="0"/>
          <w:numId w:val="50"/>
        </w:numPr>
        <w:spacing w:after="0" w:line="240" w:lineRule="auto"/>
        <w:ind w:left="0" w:firstLine="0"/>
        <w:contextualSpacing/>
        <w:jc w:val="both"/>
        <w:rPr>
          <w:rFonts w:ascii="Times New Roman" w:eastAsia="Times New Roman" w:hAnsi="Times New Roman" w:cs="Times New Roman"/>
        </w:rPr>
      </w:pPr>
      <w:r w:rsidRPr="009F628C">
        <w:rPr>
          <w:rFonts w:ascii="Times New Roman" w:eastAsia="Times New Roman" w:hAnsi="Times New Roman" w:cs="Times New Roman"/>
        </w:rPr>
        <w:t>Jeigu Tiekėjas siūlo geriausią nustatytą reikšmę (arba dar geresnę, nei nustatyta geriausia reikšmė) – Tiekėjui skiriamas maksimalus atitinkamas balų skaičius – Y.</w:t>
      </w:r>
    </w:p>
    <w:p w14:paraId="73987688" w14:textId="77777777" w:rsidR="005E4D00" w:rsidRPr="009F628C" w:rsidRDefault="005E4D00" w:rsidP="005E4D00">
      <w:pPr>
        <w:numPr>
          <w:ilvl w:val="0"/>
          <w:numId w:val="50"/>
        </w:numPr>
        <w:spacing w:after="0" w:line="240" w:lineRule="auto"/>
        <w:ind w:left="0" w:firstLine="0"/>
        <w:contextualSpacing/>
        <w:jc w:val="both"/>
        <w:rPr>
          <w:rFonts w:ascii="Times New Roman" w:eastAsia="Times New Roman" w:hAnsi="Times New Roman" w:cs="Times New Roman"/>
        </w:rPr>
      </w:pPr>
      <w:r w:rsidRPr="009F628C">
        <w:rPr>
          <w:rFonts w:ascii="Times New Roman" w:eastAsia="Times New Roman" w:hAnsi="Times New Roman" w:cs="Times New Roman"/>
        </w:rPr>
        <w:t>Jeigu Tiekėjo siūloma reikšmė atitinka tik privalomą nustatytą reikalavimą – balai už atitinkamą kriterijų neskiriami.</w:t>
      </w:r>
    </w:p>
    <w:p w14:paraId="3B083CB0" w14:textId="77777777" w:rsidR="005E4D00" w:rsidRDefault="005E4D00" w:rsidP="005E4D00">
      <w:pPr>
        <w:spacing w:after="0" w:line="240" w:lineRule="auto"/>
        <w:jc w:val="both"/>
        <w:rPr>
          <w:rFonts w:ascii="Times New Roman" w:eastAsia="Times New Roman" w:hAnsi="Times New Roman" w:cs="Times New Roman"/>
          <w:sz w:val="16"/>
          <w:szCs w:val="16"/>
        </w:rPr>
      </w:pPr>
    </w:p>
    <w:p w14:paraId="460CFA63" w14:textId="77777777" w:rsidR="005E4D00" w:rsidRDefault="005E4D00" w:rsidP="005E4D00">
      <w:pPr>
        <w:spacing w:after="0" w:line="240" w:lineRule="auto"/>
        <w:jc w:val="both"/>
        <w:rPr>
          <w:rFonts w:ascii="Times New Roman" w:eastAsia="Times New Roman" w:hAnsi="Times New Roman" w:cs="Times New Roman"/>
          <w:sz w:val="16"/>
          <w:szCs w:val="16"/>
        </w:rPr>
      </w:pPr>
    </w:p>
    <w:p w14:paraId="7AEE889E" w14:textId="77777777" w:rsidR="005E4D00" w:rsidRDefault="005E4D00" w:rsidP="005E4D00">
      <w:pPr>
        <w:numPr>
          <w:ilvl w:val="0"/>
          <w:numId w:val="50"/>
        </w:numPr>
        <w:tabs>
          <w:tab w:val="num" w:pos="0"/>
        </w:tabs>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rPr>
        <w:t>Ekonomiškai naudingiausiu laikomas pasiūlymas, kurio balų suma yra didžiausia.</w:t>
      </w:r>
    </w:p>
    <w:p w14:paraId="2BFC21BE" w14:textId="77777777" w:rsidR="005E4D00" w:rsidRDefault="005E4D00" w:rsidP="005E4D00">
      <w:pPr>
        <w:spacing w:after="0" w:line="240" w:lineRule="auto"/>
        <w:jc w:val="center"/>
        <w:rPr>
          <w:rFonts w:ascii="Times New Roman" w:eastAsia="Times New Roman" w:hAnsi="Times New Roman" w:cs="Times New Roman"/>
          <w:bCs/>
          <w:lang w:eastAsia="ar-SA"/>
        </w:rPr>
      </w:pPr>
    </w:p>
    <w:p w14:paraId="02A731BF" w14:textId="77777777" w:rsidR="005E4D00" w:rsidRDefault="005E4D00" w:rsidP="005E4D00">
      <w:pPr>
        <w:spacing w:after="0" w:line="240" w:lineRule="auto"/>
        <w:jc w:val="center"/>
        <w:rPr>
          <w:rFonts w:ascii="Times New Roman" w:eastAsia="Times New Roman" w:hAnsi="Times New Roman" w:cs="Times New Roman"/>
          <w:bCs/>
          <w:lang w:eastAsia="ar-SA"/>
        </w:rPr>
      </w:pPr>
    </w:p>
    <w:p w14:paraId="632C16F2" w14:textId="77777777" w:rsidR="005E4D00" w:rsidRDefault="005E4D00" w:rsidP="005E4D00">
      <w:pPr>
        <w:spacing w:after="0" w:line="240" w:lineRule="auto"/>
        <w:jc w:val="center"/>
        <w:rPr>
          <w:rFonts w:ascii="Times New Roman" w:eastAsia="Times New Roman" w:hAnsi="Times New Roman" w:cs="Times New Roman"/>
          <w:b/>
          <w:lang w:eastAsia="ar-SA"/>
        </w:rPr>
      </w:pPr>
    </w:p>
    <w:p w14:paraId="2D79225A" w14:textId="77777777" w:rsidR="005E4D00" w:rsidRDefault="005E4D00" w:rsidP="005E4D00">
      <w:pPr>
        <w:spacing w:after="0" w:line="240" w:lineRule="auto"/>
        <w:jc w:val="center"/>
        <w:rPr>
          <w:rFonts w:ascii="Times New Roman" w:eastAsia="Times New Roman" w:hAnsi="Times New Roman" w:cs="Times New Roman"/>
          <w:b/>
          <w:lang w:eastAsia="ar-SA"/>
        </w:rPr>
      </w:pPr>
    </w:p>
    <w:p w14:paraId="30E0A31B" w14:textId="77777777" w:rsidR="003E3C4F"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B075F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DA64B" w14:textId="77777777" w:rsidR="008C6891" w:rsidRDefault="008C6891" w:rsidP="00D05666">
      <w:r>
        <w:separator/>
      </w:r>
    </w:p>
  </w:endnote>
  <w:endnote w:type="continuationSeparator" w:id="0">
    <w:p w14:paraId="40C7FC4D" w14:textId="77777777" w:rsidR="008C6891" w:rsidRDefault="008C6891" w:rsidP="00D05666">
      <w:r>
        <w:continuationSeparator/>
      </w:r>
    </w:p>
  </w:endnote>
  <w:endnote w:type="continuationNotice" w:id="1">
    <w:p w14:paraId="1643E1D3" w14:textId="77777777" w:rsidR="008C6891" w:rsidRDefault="008C6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030E9" w14:textId="77777777" w:rsidR="008C6891" w:rsidRDefault="008C6891" w:rsidP="00D05666">
      <w:r>
        <w:separator/>
      </w:r>
    </w:p>
  </w:footnote>
  <w:footnote w:type="continuationSeparator" w:id="0">
    <w:p w14:paraId="19875F87" w14:textId="77777777" w:rsidR="008C6891" w:rsidRDefault="008C6891" w:rsidP="00D05666">
      <w:r>
        <w:continuationSeparator/>
      </w:r>
    </w:p>
  </w:footnote>
  <w:footnote w:type="continuationNotice" w:id="1">
    <w:p w14:paraId="3778C5BF" w14:textId="77777777" w:rsidR="008C6891" w:rsidRDefault="008C68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8"/>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1"/>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9"/>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5"/>
  </w:num>
  <w:num w:numId="43" w16cid:durableId="1473134445">
    <w:abstractNumId w:val="38"/>
  </w:num>
  <w:num w:numId="44" w16cid:durableId="1837113429">
    <w:abstractNumId w:val="3"/>
  </w:num>
  <w:num w:numId="45" w16cid:durableId="554002450">
    <w:abstractNumId w:val="12"/>
  </w:num>
  <w:num w:numId="46" w16cid:durableId="1416978522">
    <w:abstractNumId w:val="20"/>
  </w:num>
  <w:num w:numId="47" w16cid:durableId="749809940">
    <w:abstractNumId w:val="4"/>
  </w:num>
  <w:num w:numId="48" w16cid:durableId="1031690301">
    <w:abstractNumId w:val="7"/>
  </w:num>
  <w:num w:numId="49" w16cid:durableId="412043720">
    <w:abstractNumId w:val="44"/>
  </w:num>
  <w:num w:numId="50" w16cid:durableId="101962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07D"/>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D34"/>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86B4D"/>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62B"/>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3C"/>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2FA5"/>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D00"/>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1FFE"/>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6FA"/>
    <w:rsid w:val="008C5F5E"/>
    <w:rsid w:val="008C6767"/>
    <w:rsid w:val="008C6891"/>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28C"/>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5F4"/>
    <w:rsid w:val="00B07665"/>
    <w:rsid w:val="00B1096B"/>
    <w:rsid w:val="00B1123C"/>
    <w:rsid w:val="00B123E4"/>
    <w:rsid w:val="00B12512"/>
    <w:rsid w:val="00B12BF6"/>
    <w:rsid w:val="00B14544"/>
    <w:rsid w:val="00B149EA"/>
    <w:rsid w:val="00B157D6"/>
    <w:rsid w:val="00B157F5"/>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168571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1091</Words>
  <Characters>623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9</cp:revision>
  <dcterms:created xsi:type="dcterms:W3CDTF">2024-01-26T05:07:00Z</dcterms:created>
  <dcterms:modified xsi:type="dcterms:W3CDTF">2026-01-20T08:33:00Z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